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7292F" w14:textId="6BE205D3" w:rsidR="00BB749F" w:rsidRPr="002E7FA8" w:rsidRDefault="00BB749F" w:rsidP="00BB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7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ZASAD WYMIANY STOLARKI OKIENNEJ ORAZ PRZYZNAWANIA CZĘŚCIOWEGO ZWROTU KOSZTÓW</w:t>
      </w:r>
    </w:p>
    <w:p w14:paraId="71C39F0D" w14:textId="77777777" w:rsidR="00BB749F" w:rsidRPr="00BB749F" w:rsidRDefault="00BB749F" w:rsidP="00BB74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8B9B1A7" w14:textId="77777777" w:rsidR="00BB749F" w:rsidRPr="00BB749F" w:rsidRDefault="00BB749F" w:rsidP="00BB7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49F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14:paraId="06E13E4B" w14:textId="02EDBF65" w:rsidR="00BB749F" w:rsidRPr="00BB749F" w:rsidRDefault="00BB749F" w:rsidP="002E7FA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Wymiana stolarki okiennej dokonywana jest wyłącznie we własnym zakresie na zlecenie użytkownika lokalu mieszkalnego firmom posiadającym uprawnienia do wykonywania tych robót oraz zgodnie z przepisami Prawa Budowlanego.</w:t>
      </w:r>
    </w:p>
    <w:p w14:paraId="0A1F8902" w14:textId="77777777" w:rsidR="00BB749F" w:rsidRPr="00BB749F" w:rsidRDefault="00BB749F" w:rsidP="00BB7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49F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6E0A553D" w14:textId="789839C9" w:rsidR="002E7FA8" w:rsidRDefault="00BB749F" w:rsidP="002E7FA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Użytkownik mieszkania obowiązany jest pobrać od firmy wykonującej montaż stolarki okiennej ;</w:t>
      </w:r>
    </w:p>
    <w:p w14:paraId="4B0E0601" w14:textId="77777777" w:rsidR="002E7FA8" w:rsidRDefault="00BB749F" w:rsidP="002E7FA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49F">
        <w:rPr>
          <w:rFonts w:ascii="Times New Roman" w:eastAsia="Times New Roman" w:hAnsi="Times New Roman" w:cs="Times New Roman"/>
          <w:sz w:val="24"/>
          <w:szCs w:val="24"/>
          <w:lang w:eastAsia="pl-PL"/>
        </w:rPr>
        <w:t>- aprobatę techniczną ITB AT-15,</w:t>
      </w:r>
    </w:p>
    <w:p w14:paraId="7B9A55EC" w14:textId="77777777" w:rsidR="002E7FA8" w:rsidRDefault="00BB749F" w:rsidP="002E7FA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49F">
        <w:rPr>
          <w:rFonts w:ascii="Times New Roman" w:eastAsia="Times New Roman" w:hAnsi="Times New Roman" w:cs="Times New Roman"/>
          <w:sz w:val="24"/>
          <w:szCs w:val="24"/>
          <w:lang w:eastAsia="pl-PL"/>
        </w:rPr>
        <w:t>- certyfikat zgodności,</w:t>
      </w:r>
    </w:p>
    <w:p w14:paraId="457C992C" w14:textId="77777777" w:rsidR="002E7FA8" w:rsidRDefault="00BB749F" w:rsidP="002E7FA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49F">
        <w:rPr>
          <w:rFonts w:ascii="Times New Roman" w:eastAsia="Times New Roman" w:hAnsi="Times New Roman" w:cs="Times New Roman"/>
          <w:sz w:val="24"/>
          <w:szCs w:val="24"/>
          <w:lang w:eastAsia="pl-PL"/>
        </w:rPr>
        <w:t>- atest higieniczny,</w:t>
      </w:r>
    </w:p>
    <w:p w14:paraId="1127CC99" w14:textId="77777777" w:rsidR="002E7FA8" w:rsidRDefault="00BB749F" w:rsidP="002E7FA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49F">
        <w:rPr>
          <w:rFonts w:ascii="Times New Roman" w:eastAsia="Times New Roman" w:hAnsi="Times New Roman" w:cs="Times New Roman"/>
          <w:sz w:val="24"/>
          <w:szCs w:val="24"/>
          <w:lang w:eastAsia="pl-PL"/>
        </w:rPr>
        <w:t>- orzeczenie CNBOP o określeniu wskaźnika zapalności „i” oraz wskaźnika spalania „c” wg PN,</w:t>
      </w:r>
    </w:p>
    <w:p w14:paraId="76D7C952" w14:textId="3EE0C527" w:rsidR="00BB749F" w:rsidRPr="00BB749F" w:rsidRDefault="00BB749F" w:rsidP="002E7FA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49F">
        <w:rPr>
          <w:rFonts w:ascii="Times New Roman" w:eastAsia="Times New Roman" w:hAnsi="Times New Roman" w:cs="Times New Roman"/>
          <w:sz w:val="24"/>
          <w:szCs w:val="24"/>
          <w:lang w:eastAsia="pl-PL"/>
        </w:rPr>
        <w:t>- gwarancję na stolarkę okienna i balkonową.</w:t>
      </w:r>
    </w:p>
    <w:p w14:paraId="4F534673" w14:textId="77777777" w:rsidR="00BB749F" w:rsidRPr="00BB749F" w:rsidRDefault="00BB749F" w:rsidP="00BB7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49F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14:paraId="48C286C3" w14:textId="4FF82C27" w:rsidR="00BB749F" w:rsidRPr="00BB749F" w:rsidRDefault="00BB749F" w:rsidP="002E7F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Użytkownik mieszkania obowiązany jest przedłożyć w spółdzielni;</w:t>
      </w:r>
      <w:r w:rsidRPr="00BB7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fakturę,</w:t>
      </w:r>
      <w:r w:rsidRPr="00BB7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specyfikację do faktury zawierającą cenę brutto okna,</w:t>
      </w:r>
      <w:r w:rsidRPr="00BB7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zapis w warunkach gwarancyjnych o zastosowaniu rozszczelnienia okien celem zapewnienia optymalnej wentylacji pomieszczeń.</w:t>
      </w:r>
    </w:p>
    <w:p w14:paraId="69B8D0A3" w14:textId="77777777" w:rsidR="00BB749F" w:rsidRPr="00BB749F" w:rsidRDefault="00BB749F" w:rsidP="00BB7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49F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14:paraId="7228E955" w14:textId="3F1A8CCC" w:rsidR="00BB749F" w:rsidRPr="00BB749F" w:rsidRDefault="00BB749F" w:rsidP="00BB74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Częściowy zwrot kosztów następuje w kolejności zarejestrowania dokumentów.</w:t>
      </w:r>
    </w:p>
    <w:p w14:paraId="268C6634" w14:textId="77777777" w:rsidR="00BB749F" w:rsidRPr="00BB749F" w:rsidRDefault="00BB749F" w:rsidP="00BB7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49F">
        <w:rPr>
          <w:rFonts w:ascii="Times New Roman" w:eastAsia="Times New Roman" w:hAnsi="Times New Roman" w:cs="Times New Roman"/>
          <w:sz w:val="24"/>
          <w:szCs w:val="24"/>
          <w:lang w:eastAsia="pl-PL"/>
        </w:rPr>
        <w:t>§ 5.</w:t>
      </w:r>
    </w:p>
    <w:p w14:paraId="7339AA56" w14:textId="0FD37ACC" w:rsidR="00BB749F" w:rsidRPr="00BB749F" w:rsidRDefault="00BB749F" w:rsidP="00BB74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Spółdzielnia pokrywa 40% kosztów brutto zakupu wyłącznie stolarki okiennej.</w:t>
      </w:r>
    </w:p>
    <w:p w14:paraId="06489018" w14:textId="77777777" w:rsidR="00BB749F" w:rsidRPr="00BB749F" w:rsidRDefault="00BB749F" w:rsidP="00BB7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49F">
        <w:rPr>
          <w:rFonts w:ascii="Times New Roman" w:eastAsia="Times New Roman" w:hAnsi="Times New Roman" w:cs="Times New Roman"/>
          <w:sz w:val="24"/>
          <w:szCs w:val="24"/>
          <w:lang w:eastAsia="pl-PL"/>
        </w:rPr>
        <w:t>§ 6.</w:t>
      </w:r>
    </w:p>
    <w:p w14:paraId="28CC9D18" w14:textId="7EC2BCD7" w:rsidR="00BB749F" w:rsidRPr="00BB749F" w:rsidRDefault="00BB749F" w:rsidP="002E7FA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Kwota przeznaczona na częściowy zwrot kosztów wymiany stolarki okiennej określana jest w planie remontów na dany rok kalendarzowy.</w:t>
      </w:r>
    </w:p>
    <w:p w14:paraId="4CB37A49" w14:textId="77777777" w:rsidR="00BB749F" w:rsidRPr="00BB749F" w:rsidRDefault="00BB749F" w:rsidP="00BB7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49F">
        <w:rPr>
          <w:rFonts w:ascii="Times New Roman" w:eastAsia="Times New Roman" w:hAnsi="Times New Roman" w:cs="Times New Roman"/>
          <w:sz w:val="24"/>
          <w:szCs w:val="24"/>
          <w:lang w:eastAsia="pl-PL"/>
        </w:rPr>
        <w:t>§ 7.</w:t>
      </w:r>
    </w:p>
    <w:p w14:paraId="1C6710D2" w14:textId="0499481A" w:rsidR="00BB749F" w:rsidRPr="00BB749F" w:rsidRDefault="00BB749F" w:rsidP="002E7FA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Zwrot należnej kwoty przelewany jest na konto wskazane przez użytkownika mieszkania.</w:t>
      </w:r>
      <w:r w:rsidR="002E7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7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braku konta należna kwota przeksięgowana zostaje na poczet opłat z tytułu </w:t>
      </w:r>
      <w:r w:rsidRPr="00BB74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zajmowania lokalu mieszkalnego. W przypadku wystąpienia zaległości w opłatach z tytułu zajmowania lokalu mieszkalnego na dzień dokonywania rozliczenia należna kwota zostanie przeksięgowana na poczet tych zadłużeń.</w:t>
      </w:r>
    </w:p>
    <w:p w14:paraId="38FD1B03" w14:textId="77777777" w:rsidR="00BB749F" w:rsidRPr="00BB749F" w:rsidRDefault="00BB749F" w:rsidP="00BB7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49F">
        <w:rPr>
          <w:rFonts w:ascii="Times New Roman" w:eastAsia="Times New Roman" w:hAnsi="Times New Roman" w:cs="Times New Roman"/>
          <w:sz w:val="24"/>
          <w:szCs w:val="24"/>
          <w:lang w:eastAsia="pl-PL"/>
        </w:rPr>
        <w:t>§ 8.</w:t>
      </w:r>
    </w:p>
    <w:p w14:paraId="610209F2" w14:textId="076FBF5A" w:rsidR="00BB749F" w:rsidRPr="00BB749F" w:rsidRDefault="00BB749F" w:rsidP="00BB74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Użytkownik zobowiązany jest wykonać wymianę stolarki okiennej z zachowaniem pierwotnej architektury, zgodnie ze sztuką budowlaną w technologii podanej przez producenta pod rygorem pozbawienia dofinansowania.</w:t>
      </w:r>
    </w:p>
    <w:p w14:paraId="26446A2C" w14:textId="77777777" w:rsidR="00BB749F" w:rsidRPr="00BB749F" w:rsidRDefault="00BB749F" w:rsidP="00BB7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49F">
        <w:rPr>
          <w:rFonts w:ascii="Times New Roman" w:eastAsia="Times New Roman" w:hAnsi="Times New Roman" w:cs="Times New Roman"/>
          <w:sz w:val="24"/>
          <w:szCs w:val="24"/>
          <w:lang w:eastAsia="pl-PL"/>
        </w:rPr>
        <w:t>§ 9.</w:t>
      </w:r>
    </w:p>
    <w:p w14:paraId="59913E96" w14:textId="650C921F" w:rsidR="00216C39" w:rsidRDefault="00BB749F" w:rsidP="00BB749F">
      <w:r w:rsidRPr="00BB7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Regulamin obowiązuje od dnia 01.01.2011r.</w:t>
      </w:r>
    </w:p>
    <w:sectPr w:rsidR="00216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49F"/>
    <w:rsid w:val="00216C39"/>
    <w:rsid w:val="002E7FA8"/>
    <w:rsid w:val="00BB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BA67"/>
  <w15:chartTrackingRefBased/>
  <w15:docId w15:val="{2B993F96-868C-43D9-91BB-68C16C44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2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Stocki</dc:creator>
  <cp:keywords/>
  <dc:description/>
  <cp:lastModifiedBy>Marek Stocki</cp:lastModifiedBy>
  <cp:revision>2</cp:revision>
  <dcterms:created xsi:type="dcterms:W3CDTF">2020-07-26T11:17:00Z</dcterms:created>
  <dcterms:modified xsi:type="dcterms:W3CDTF">2020-07-26T13:56:00Z</dcterms:modified>
</cp:coreProperties>
</file>